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Vetlanda kommunfullmäktige</w:t>
      </w:r>
    </w:p>
    <w:p>
      <w:pPr>
        <w:pStyle w:val="Heading1"/>
      </w:pPr>
      <w:r>
        <w:t xml:space="preserve">Öka tryggheten med fler kameror i Vetlanda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Vetlanda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Brå:s trygghetsundersökning 2023 visar ökade anmälningar om våld och skadegörelse i Vetlanda centrum. Flera butiksägare har efterfrågat bättre övervakning. Kameror har visat sig minska brottsligheten i liknande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Vetlanda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övervakningskameror på strategiska platser i Vetlanda centrum.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kartläggning av brottsutsatta områden genomförs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polisen förstärks för kameraövervakning.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insatsen utvärderas och redovisas för kommunfullmäktige senast 2027.</w:t>
      </w:r>
    </w:p>
    <w:p>
      <w:pPr>
        <w:spacing w:before="360"/>
      </w:pPr>
    </w:p>
    <w:p>
      <w:r>
        <w:t xml:space="preserve">Vetlanda,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Vetlanda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2026-06-06T01:48:33.125Z</dcterms:created>
  <dcterms:modified xsi:type="dcterms:W3CDTF">2026-06-06T01:48:33.125Z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